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 w:line="240" w:lineRule="auto"/>
        <w:jc w:val="center"/>
        <w:outlineLvl w:val="0"/>
        <w:rPr>
          <w:rFonts w:ascii="Times New Roman" w:hAnsi="Times New Roman" w:eastAsia="微软雅黑" w:cs="Times New Roman"/>
          <w:color w:val="444444"/>
          <w:kern w:val="36"/>
          <w:sz w:val="28"/>
          <w:szCs w:val="28"/>
        </w:rPr>
      </w:pPr>
      <w:r>
        <w:rPr>
          <w:rFonts w:ascii="Times New Roman" w:hAnsi="Times New Roman" w:eastAsia="微软雅黑" w:cs="Times New Roman"/>
          <w:color w:val="444444"/>
          <w:kern w:val="36"/>
          <w:sz w:val="28"/>
          <w:szCs w:val="28"/>
        </w:rPr>
        <w:t>ScholarOne</w:t>
      </w:r>
      <w:r>
        <w:rPr>
          <w:rFonts w:hint="eastAsia" w:ascii="Times New Roman" w:hAnsi="Times New Roman" w:eastAsia="微软雅黑" w:cs="Times New Roman"/>
          <w:color w:val="444444"/>
          <w:kern w:val="36"/>
          <w:sz w:val="28"/>
          <w:szCs w:val="28"/>
        </w:rPr>
        <w:t xml:space="preserve"> Manuscripts在线投审稿系统组团订购方案</w:t>
      </w:r>
    </w:p>
    <w:p>
      <w:p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一、</w:t>
      </w: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ScholarOne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 xml:space="preserve"> Manuscripts简介</w:t>
      </w:r>
    </w:p>
    <w:p>
      <w:pPr>
        <w:widowControl/>
        <w:spacing w:before="312" w:after="312"/>
        <w:ind w:firstLine="472" w:firstLineChars="200"/>
        <w:jc w:val="left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ScholarOne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 xml:space="preserve"> Manuscripts</w:t>
      </w: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在线投审稿系统为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科睿唯安</w:t>
      </w: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旗下的产品，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由于其卓越的性能和系统稳定性，</w:t>
      </w: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为全球各学会和出版机构的学术期刊所广泛使用，是业内同类产品中的佼佼者。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该系统目前为全球超过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7000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种科技期刊服务，全球注册用户超过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1500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万，历经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20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年的创新和升级，代表了全球科技期刊在线投审稿的最佳实践。</w:t>
      </w:r>
      <w:r>
        <w:rPr>
          <w:rFonts w:ascii="Calibri" w:hAnsi="Calibri" w:eastAsia="宋体" w:cs="Calibri"/>
          <w:color w:val="000000"/>
          <w:kern w:val="0"/>
          <w:szCs w:val="21"/>
        </w:rPr>
        <w:t xml:space="preserve">ScholarOne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产品于</w:t>
      </w:r>
      <w:r>
        <w:rPr>
          <w:rFonts w:ascii="Calibri" w:hAnsi="Calibri" w:eastAsia="宋体" w:cs="Calibri"/>
          <w:color w:val="000000"/>
          <w:kern w:val="0"/>
          <w:szCs w:val="21"/>
        </w:rPr>
        <w:t>2008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年正式引入中国市场，并于</w:t>
      </w:r>
      <w:r>
        <w:rPr>
          <w:rFonts w:ascii="Calibri" w:hAnsi="Calibri" w:eastAsia="宋体" w:cs="Calibri"/>
          <w:color w:val="000000"/>
          <w:kern w:val="0"/>
          <w:szCs w:val="21"/>
        </w:rPr>
        <w:t>2009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年推出了简体中文版。 经过 </w:t>
      </w:r>
      <w:r>
        <w:rPr>
          <w:rFonts w:ascii="Calibri" w:hAnsi="Calibri" w:eastAsia="宋体" w:cs="Calibri"/>
          <w:color w:val="000000"/>
          <w:kern w:val="0"/>
          <w:szCs w:val="21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余年的发展，</w:t>
      </w:r>
      <w:r>
        <w:rPr>
          <w:rFonts w:ascii="Calibri" w:hAnsi="Calibri" w:eastAsia="宋体" w:cs="Calibri"/>
          <w:color w:val="000000"/>
          <w:kern w:val="0"/>
          <w:szCs w:val="21"/>
        </w:rPr>
        <w:t xml:space="preserve">ScholarOne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已经成为国内英文学术期刊首选投审稿解决方案，为国内近 </w:t>
      </w:r>
      <w:r>
        <w:rPr>
          <w:rFonts w:ascii="Calibri" w:hAnsi="Calibri" w:eastAsia="宋体" w:cs="Calibri"/>
          <w:color w:val="000000"/>
          <w:kern w:val="0"/>
          <w:szCs w:val="21"/>
        </w:rPr>
        <w:t xml:space="preserve">300 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种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期刊所选用。有 </w:t>
      </w:r>
      <w:r>
        <w:rPr>
          <w:rFonts w:ascii="Calibri" w:hAnsi="Calibri" w:eastAsia="宋体" w:cs="Calibri"/>
          <w:color w:val="000000"/>
          <w:kern w:val="0"/>
          <w:szCs w:val="21"/>
        </w:rPr>
        <w:t xml:space="preserve">20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余种顶级中文期刊也使用 </w:t>
      </w:r>
      <w:r>
        <w:rPr>
          <w:rFonts w:ascii="Calibri" w:hAnsi="Calibri" w:eastAsia="宋体" w:cs="Calibri"/>
          <w:color w:val="000000"/>
          <w:kern w:val="0"/>
          <w:szCs w:val="21"/>
        </w:rPr>
        <w:t>ScholarOne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，如《化学学报》、《有机化学》、《自动化学报》、《生理学报》及《细胞生物学杂志》等。</w:t>
      </w:r>
    </w:p>
    <w:p>
      <w:p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二、活动目的</w:t>
      </w:r>
    </w:p>
    <w:p>
      <w:pPr>
        <w:spacing w:before="312" w:after="312"/>
        <w:ind w:firstLine="405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为了促进中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国科技</w:t>
      </w: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期刊进一步树立品牌形象、扩大品牌影响和提升市场竞争力，使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期刊</w:t>
      </w:r>
      <w:r>
        <w:rPr>
          <w:rFonts w:ascii="Arial" w:hAnsi="Arial" w:cs="Arial"/>
          <w:color w:val="222222"/>
          <w:spacing w:val="13"/>
          <w:szCs w:val="21"/>
          <w:shd w:val="clear" w:color="auto" w:fill="FFFFFF"/>
        </w:rPr>
        <w:t>投稿、审稿流程更简化、高效，并符合国际规范，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使一批优秀中文期刊走向国际舞台，展示实力并吸引高水平作者，应科学出版社出版部分期刊要求，北京中科期刊出版有限公司经与科睿唯安协商，拟推出“中文期刊组团订购</w:t>
      </w:r>
      <w:r>
        <w:rPr>
          <w:rFonts w:ascii="Times New Roman" w:hAnsi="Times New Roman" w:cs="Times New Roman"/>
          <w:color w:val="222222"/>
          <w:spacing w:val="13"/>
          <w:szCs w:val="21"/>
          <w:shd w:val="clear" w:color="auto" w:fill="FFFFFF"/>
        </w:rPr>
        <w:t>ScholarOne Manuscripts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在线投审稿系统”活动。</w:t>
      </w:r>
    </w:p>
    <w:p>
      <w:p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三、组团时间：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2019年8月1</w:t>
      </w:r>
      <w:r>
        <w:rPr>
          <w:rFonts w:hint="eastAsia" w:ascii="Calibri" w:hAnsi="Calibri" w:eastAsia="宋体" w:cs="Calibri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日—9月30日</w:t>
      </w:r>
      <w:bookmarkStart w:id="0" w:name="_GoBack"/>
      <w:bookmarkEnd w:id="0"/>
    </w:p>
    <w:p>
      <w:p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四、组团对象</w:t>
      </w:r>
    </w:p>
    <w:p>
      <w:p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 xml:space="preserve">    以科学出版社出版期刊为主（包含英文期刊），正在或拟与科学出版社洽谈合作的期刊也可申报。</w:t>
      </w:r>
    </w:p>
    <w:p>
      <w:pPr>
        <w:numPr>
          <w:ilvl w:val="0"/>
          <w:numId w:val="1"/>
        </w:num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组团方式、周期及基本优惠政策：</w:t>
      </w:r>
    </w:p>
    <w:p>
      <w:pPr>
        <w:spacing w:before="312" w:after="312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 xml:space="preserve">    （1）参团期刊达到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20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个及以上时，组团成功，我们将根据参团期刊的数量与科睿唯安讨论更多折扣优惠。</w:t>
      </w:r>
    </w:p>
    <w:p>
      <w:pPr>
        <w:spacing w:before="312" w:after="312"/>
        <w:ind w:firstLine="405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 xml:space="preserve"> （2）组团周期：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年为一个组团周期，首个组团周期为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2019年10月1日至2022年9月30日。</w:t>
      </w:r>
    </w:p>
    <w:p>
      <w:pPr>
        <w:spacing w:before="312" w:after="312"/>
        <w:ind w:firstLine="405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 xml:space="preserve"> （3）基本优惠政策</w:t>
      </w:r>
    </w:p>
    <w:p>
      <w:pPr>
        <w:spacing w:before="312" w:after="312"/>
        <w:ind w:firstLine="405"/>
        <w:rPr>
          <w:rFonts w:ascii="Arial" w:hAnsi="Arial" w:cs="Arial"/>
          <w:color w:val="222222"/>
          <w:spacing w:val="13"/>
          <w:szCs w:val="21"/>
          <w:shd w:val="clear" w:color="auto" w:fill="FFFFFF"/>
        </w:rPr>
      </w:pP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ScholarOne系统的费用包括两部分：首次系统安装配置费、投审稿服务及技术支持费。其中首次系统安装配置费为一次性费用，仅在安装系统时收取。</w:t>
      </w:r>
      <w:r>
        <w:rPr>
          <w:rFonts w:hint="eastAsia" w:ascii="Arial" w:hAnsi="Arial" w:cs="Arial"/>
          <w:spacing w:val="13"/>
          <w:szCs w:val="21"/>
          <w:shd w:val="clear" w:color="auto" w:fill="FFFFFF"/>
        </w:rPr>
        <w:t>投审稿服务及技术支持费按期刊的年投稿量收取（未进入审稿流程，直接由编辑部初审退稿稿件不包括在内）</w:t>
      </w:r>
      <w:r>
        <w:rPr>
          <w:rFonts w:hint="eastAsia" w:ascii="Arial" w:hAnsi="Arial" w:cs="Arial"/>
          <w:color w:val="222222"/>
          <w:spacing w:val="13"/>
          <w:szCs w:val="21"/>
          <w:shd w:val="clear" w:color="auto" w:fill="FFFFFF"/>
        </w:rPr>
        <w:t>。</w:t>
      </w:r>
    </w:p>
    <w:tbl>
      <w:tblPr>
        <w:tblStyle w:val="8"/>
        <w:tblW w:w="8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18" w:type="dxa"/>
            <w:vAlign w:val="center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年  度</w:t>
            </w:r>
          </w:p>
        </w:tc>
        <w:tc>
          <w:tcPr>
            <w:tcW w:w="2693" w:type="dxa"/>
            <w:vAlign w:val="center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系统安装配置费/刊</w:t>
            </w:r>
          </w:p>
        </w:tc>
        <w:tc>
          <w:tcPr>
            <w:tcW w:w="2961" w:type="dxa"/>
            <w:vAlign w:val="center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投审稿服务及技术支持费/篇（优惠价格）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18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2019.10.1—2020.9.30</w:t>
            </w:r>
          </w:p>
        </w:tc>
        <w:tc>
          <w:tcPr>
            <w:tcW w:w="2693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25000</w:t>
            </w: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元</w:t>
            </w:r>
          </w:p>
        </w:tc>
        <w:tc>
          <w:tcPr>
            <w:tcW w:w="2961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120元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8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2020.10.1—2021.9.30</w:t>
            </w:r>
          </w:p>
        </w:tc>
        <w:tc>
          <w:tcPr>
            <w:tcW w:w="2693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2961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126元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8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2021.10.1—2022.9.30</w:t>
            </w:r>
          </w:p>
        </w:tc>
        <w:tc>
          <w:tcPr>
            <w:tcW w:w="2693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2961" w:type="dxa"/>
          </w:tcPr>
          <w:p>
            <w:pPr>
              <w:spacing w:before="312" w:after="312" w:line="240" w:lineRule="auto"/>
              <w:jc w:val="center"/>
              <w:rPr>
                <w:rFonts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pacing w:val="13"/>
                <w:sz w:val="18"/>
                <w:szCs w:val="18"/>
                <w:shd w:val="clear" w:color="auto" w:fill="FFFFFF"/>
              </w:rPr>
              <w:t>133元</w:t>
            </w:r>
          </w:p>
        </w:tc>
      </w:tr>
    </w:tbl>
    <w:p>
      <w:pPr>
        <w:numPr>
          <w:ilvl w:val="0"/>
          <w:numId w:val="1"/>
        </w:numPr>
        <w:spacing w:before="312" w:after="312"/>
        <w:rPr>
          <w:szCs w:val="21"/>
        </w:rPr>
      </w:pPr>
      <w:r>
        <w:rPr>
          <w:rFonts w:hint="eastAsia"/>
          <w:szCs w:val="21"/>
        </w:rPr>
        <w:t>组团报名方式</w:t>
      </w:r>
    </w:p>
    <w:p>
      <w:pPr>
        <w:spacing w:before="312" w:after="312" w:line="24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请有意向参团的期刊填写本文附件《期刊信息采集表》。</w:t>
      </w:r>
    </w:p>
    <w:p>
      <w:pPr>
        <w:spacing w:before="312" w:after="312" w:line="240" w:lineRule="auto"/>
        <w:ind w:firstLine="420" w:firstLineChars="200"/>
        <w:rPr>
          <w:szCs w:val="21"/>
        </w:rPr>
      </w:pPr>
      <w:r>
        <w:rPr>
          <w:szCs w:val="21"/>
        </w:rPr>
        <w:t>联系地址：北京市东城区东黄城根北街16号科学出版社5号楼（100717），北京中科期刊出版有限公司。</w:t>
      </w:r>
    </w:p>
    <w:p>
      <w:pPr>
        <w:spacing w:before="312" w:after="312" w:line="240" w:lineRule="auto"/>
        <w:ind w:firstLine="420" w:firstLineChars="200"/>
        <w:rPr>
          <w:szCs w:val="21"/>
        </w:rPr>
      </w:pPr>
      <w:r>
        <w:rPr>
          <w:szCs w:val="21"/>
        </w:rPr>
        <w:t>报名联系人、电话及邮箱</w:t>
      </w:r>
      <w:r>
        <w:rPr>
          <w:rFonts w:asciiTheme="minorEastAsia" w:hAnsiTheme="minorEastAsia"/>
          <w:szCs w:val="21"/>
        </w:rPr>
        <w:t>：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翟亚丽</w:t>
      </w:r>
      <w:r>
        <w:rPr>
          <w:rFonts w:hint="eastAsia"/>
          <w:szCs w:val="21"/>
        </w:rPr>
        <w:t xml:space="preserve"> </w:t>
      </w:r>
      <w:r>
        <w:rPr>
          <w:rFonts w:ascii="Calibri" w:hAnsi="Calibri" w:eastAsia="宋体" w:cs="Times New Roman"/>
          <w:szCs w:val="21"/>
        </w:rPr>
        <w:t>010-640</w:t>
      </w:r>
      <w:r>
        <w:rPr>
          <w:rFonts w:hint="eastAsia" w:ascii="Calibri" w:hAnsi="Calibri" w:eastAsia="宋体" w:cs="Times New Roman"/>
          <w:szCs w:val="21"/>
        </w:rPr>
        <w:t>34112</w:t>
      </w:r>
      <w:r>
        <w:rPr>
          <w:rFonts w:hint="eastAsia" w:asciiTheme="minorEastAsia" w:hAnsiTheme="minorEastAsia"/>
          <w:color w:val="000000"/>
          <w:kern w:val="0"/>
          <w:szCs w:val="21"/>
        </w:rPr>
        <w:t>，</w:t>
      </w:r>
      <w:r>
        <w:rPr>
          <w:rFonts w:ascii="Calibri" w:hAnsi="Calibri" w:eastAsia="仿宋_GB2312" w:cs="Times New Roman"/>
          <w:color w:val="000000"/>
          <w:kern w:val="0"/>
          <w:szCs w:val="21"/>
        </w:rPr>
        <w:t>E-mail：</w:t>
      </w:r>
      <w:r>
        <w:rPr>
          <w:rFonts w:hint="eastAsia" w:ascii="Calibri" w:hAnsi="Calibri" w:eastAsia="仿宋_GB2312" w:cs="Times New Roman"/>
          <w:color w:val="000000"/>
          <w:kern w:val="0"/>
          <w:szCs w:val="21"/>
        </w:rPr>
        <w:t>zhaiyali</w:t>
      </w:r>
      <w:r>
        <w:rPr>
          <w:rFonts w:ascii="Calibri" w:hAnsi="Calibri" w:eastAsia="仿宋_GB2312" w:cs="Times New Roman"/>
          <w:color w:val="000000"/>
          <w:kern w:val="0"/>
          <w:szCs w:val="21"/>
        </w:rPr>
        <w:t>@mail.sciencep.com</w:t>
      </w:r>
    </w:p>
    <w:p>
      <w:pPr>
        <w:spacing w:before="312" w:after="312"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ascii="宋体" w:hAnsi="宋体" w:eastAsia="宋体" w:cs="Times New Roman"/>
          <w:color w:val="000000"/>
          <w:kern w:val="0"/>
          <w:szCs w:val="21"/>
        </w:rPr>
        <w:t>附件：《</w:t>
      </w:r>
      <w:r>
        <w:rPr>
          <w:rFonts w:hint="eastAsia" w:asciiTheme="minorEastAsia" w:hAnsiTheme="minorEastAsia"/>
          <w:color w:val="000000"/>
          <w:kern w:val="0"/>
          <w:szCs w:val="21"/>
        </w:rPr>
        <w:t>期刊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参团报名</w:t>
      </w:r>
      <w:r>
        <w:rPr>
          <w:rFonts w:ascii="宋体" w:hAnsi="宋体" w:eastAsia="宋体" w:cs="Times New Roman"/>
          <w:color w:val="000000"/>
          <w:kern w:val="0"/>
          <w:szCs w:val="21"/>
        </w:rPr>
        <w:t>表》</w:t>
      </w:r>
    </w:p>
    <w:p>
      <w:pPr>
        <w:spacing w:before="312" w:after="312" w:line="540" w:lineRule="exact"/>
        <w:ind w:firstLine="640"/>
        <w:jc w:val="right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ascii="宋体" w:hAnsi="宋体" w:eastAsia="宋体" w:cs="Times New Roman"/>
          <w:color w:val="000000"/>
          <w:kern w:val="0"/>
          <w:szCs w:val="21"/>
        </w:rPr>
        <w:t>北京中科期刊出版有限公司</w:t>
      </w:r>
    </w:p>
    <w:p>
      <w:pPr>
        <w:spacing w:before="312" w:after="312" w:line="540" w:lineRule="exact"/>
        <w:ind w:firstLine="640"/>
        <w:jc w:val="right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="宋体" w:hAnsi="宋体" w:eastAsia="宋体" w:cs="Times New Roman"/>
          <w:color w:val="000000"/>
          <w:kern w:val="0"/>
          <w:szCs w:val="21"/>
        </w:rPr>
        <w:t>2019年</w:t>
      </w:r>
      <w:r>
        <w:rPr>
          <w:rFonts w:hint="eastAsia" w:asciiTheme="minorEastAsia" w:hAnsiTheme="minorEastAsia"/>
          <w:color w:val="000000"/>
          <w:kern w:val="0"/>
          <w:szCs w:val="21"/>
        </w:rPr>
        <w:t>8</w:t>
      </w:r>
      <w:r>
        <w:rPr>
          <w:rFonts w:ascii="宋体" w:hAnsi="宋体" w:eastAsia="宋体" w:cs="Times New Roman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8</w:t>
      </w:r>
      <w:r>
        <w:rPr>
          <w:rFonts w:ascii="宋体" w:hAnsi="宋体" w:eastAsia="宋体" w:cs="Times New Roman"/>
          <w:color w:val="000000"/>
          <w:kern w:val="0"/>
          <w:szCs w:val="21"/>
        </w:rPr>
        <w:t>日</w:t>
      </w:r>
    </w:p>
    <w:p>
      <w:pPr>
        <w:widowControl/>
        <w:adjustRightInd w:val="0"/>
        <w:snapToGrid w:val="0"/>
        <w:spacing w:before="312" w:after="312" w:line="300" w:lineRule="auto"/>
        <w:ind w:right="958"/>
        <w:jc w:val="left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 xml:space="preserve">附件  </w:t>
      </w:r>
    </w:p>
    <w:p>
      <w:pPr>
        <w:widowControl/>
        <w:adjustRightInd w:val="0"/>
        <w:snapToGrid w:val="0"/>
        <w:spacing w:before="312" w:after="312" w:line="300" w:lineRule="auto"/>
        <w:ind w:right="958"/>
        <w:jc w:val="center"/>
        <w:rPr>
          <w:b/>
          <w:bCs/>
          <w:kern w:val="0"/>
          <w:sz w:val="30"/>
          <w:szCs w:val="30"/>
        </w:rPr>
      </w:pPr>
      <w:r>
        <w:rPr>
          <w:rFonts w:hint="eastAsia" w:eastAsia="黑体"/>
          <w:b/>
          <w:kern w:val="0"/>
          <w:sz w:val="32"/>
          <w:szCs w:val="32"/>
        </w:rPr>
        <w:t>期刊参团报名</w:t>
      </w:r>
      <w:r>
        <w:rPr>
          <w:rFonts w:eastAsia="黑体"/>
          <w:b/>
          <w:kern w:val="0"/>
          <w:sz w:val="32"/>
          <w:szCs w:val="32"/>
        </w:rPr>
        <w:t>表</w:t>
      </w:r>
    </w:p>
    <w:tbl>
      <w:tblPr>
        <w:tblStyle w:val="7"/>
        <w:tblW w:w="74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2149"/>
        <w:gridCol w:w="1252"/>
        <w:gridCol w:w="2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期刊名称</w:t>
            </w:r>
          </w:p>
        </w:tc>
        <w:tc>
          <w:tcPr>
            <w:tcW w:w="5904" w:type="dxa"/>
            <w:gridSpan w:val="3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刊期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rPr>
                <w:rFonts w:eastAsia="仿宋_GB2312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语种</w:t>
            </w:r>
          </w:p>
        </w:tc>
        <w:tc>
          <w:tcPr>
            <w:tcW w:w="2503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论文年送审量</w:t>
            </w:r>
          </w:p>
        </w:tc>
        <w:tc>
          <w:tcPr>
            <w:tcW w:w="5904" w:type="dxa"/>
            <w:gridSpan w:val="3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</w:t>
            </w:r>
            <w:r>
              <w:rPr>
                <w:rFonts w:hint="eastAsia" w:eastAsia="仿宋_GB2312"/>
                <w:u w:val="single"/>
              </w:rPr>
              <w:t xml:space="preserve">        </w:t>
            </w:r>
            <w:r>
              <w:rPr>
                <w:rFonts w:hint="eastAsia" w:eastAsia="仿宋_GB2312"/>
              </w:rPr>
              <w:t>篇/年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  <w:r>
              <w:rPr>
                <w:rFonts w:hint="eastAsia" w:eastAsia="仿宋_GB2312"/>
              </w:rPr>
              <w:t>人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503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5904" w:type="dxa"/>
            <w:gridSpan w:val="3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是否有使用ScholarOne投审稿系统的意愿</w:t>
            </w:r>
          </w:p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（请勾选）</w:t>
            </w:r>
          </w:p>
        </w:tc>
        <w:tc>
          <w:tcPr>
            <w:tcW w:w="5904" w:type="dxa"/>
            <w:gridSpan w:val="3"/>
            <w:tcMar>
              <w:left w:w="85" w:type="dxa"/>
            </w:tcMar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 愿意使用</w:t>
            </w:r>
          </w:p>
          <w:p>
            <w:pPr>
              <w:tabs>
                <w:tab w:val="left" w:pos="1560"/>
              </w:tabs>
              <w:spacing w:before="312" w:after="312" w:line="440" w:lineRule="exact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 不想使用</w:t>
            </w:r>
          </w:p>
          <w:p>
            <w:pPr>
              <w:tabs>
                <w:tab w:val="left" w:pos="1560"/>
              </w:tabs>
              <w:spacing w:before="312" w:after="312" w:line="440" w:lineRule="exact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 可能会使用，考虑中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568" w:type="dxa"/>
            <w:vAlign w:val="center"/>
          </w:tcPr>
          <w:p>
            <w:pPr>
              <w:tabs>
                <w:tab w:val="left" w:pos="1560"/>
              </w:tabs>
              <w:spacing w:before="312" w:after="312"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其他（选填）</w:t>
            </w:r>
          </w:p>
        </w:tc>
        <w:tc>
          <w:tcPr>
            <w:tcW w:w="5904" w:type="dxa"/>
            <w:gridSpan w:val="3"/>
            <w:vAlign w:val="center"/>
          </w:tcPr>
          <w:p>
            <w:pPr>
              <w:tabs>
                <w:tab w:val="left" w:pos="1560"/>
              </w:tabs>
              <w:spacing w:before="312" w:after="312"/>
              <w:rPr>
                <w:rFonts w:eastAsia="仿宋_GB2312"/>
              </w:rPr>
            </w:pPr>
          </w:p>
        </w:tc>
      </w:tr>
    </w:tbl>
    <w:p>
      <w:pPr>
        <w:spacing w:before="312" w:after="312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D66025"/>
    <w:multiLevelType w:val="singleLevel"/>
    <w:tmpl w:val="CAD660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0C1"/>
    <w:rsid w:val="00005D4E"/>
    <w:rsid w:val="000256E3"/>
    <w:rsid w:val="00093925"/>
    <w:rsid w:val="000B2670"/>
    <w:rsid w:val="00112BB8"/>
    <w:rsid w:val="00147894"/>
    <w:rsid w:val="001D195C"/>
    <w:rsid w:val="001F7B38"/>
    <w:rsid w:val="002B2A2C"/>
    <w:rsid w:val="00343650"/>
    <w:rsid w:val="00345B39"/>
    <w:rsid w:val="00397397"/>
    <w:rsid w:val="00467781"/>
    <w:rsid w:val="00470856"/>
    <w:rsid w:val="004A0B50"/>
    <w:rsid w:val="006008E2"/>
    <w:rsid w:val="00666037"/>
    <w:rsid w:val="00691BA3"/>
    <w:rsid w:val="006A6FF0"/>
    <w:rsid w:val="006D28C4"/>
    <w:rsid w:val="00734034"/>
    <w:rsid w:val="00743630"/>
    <w:rsid w:val="00764817"/>
    <w:rsid w:val="007D37B4"/>
    <w:rsid w:val="00831BC1"/>
    <w:rsid w:val="008E475C"/>
    <w:rsid w:val="00923C65"/>
    <w:rsid w:val="00924043"/>
    <w:rsid w:val="00973DE5"/>
    <w:rsid w:val="009F5BDF"/>
    <w:rsid w:val="00A40FC2"/>
    <w:rsid w:val="00A91D19"/>
    <w:rsid w:val="00AD184D"/>
    <w:rsid w:val="00B27465"/>
    <w:rsid w:val="00BF46B6"/>
    <w:rsid w:val="00C62EBA"/>
    <w:rsid w:val="00C947FE"/>
    <w:rsid w:val="00CE0DA6"/>
    <w:rsid w:val="00DC69EA"/>
    <w:rsid w:val="00E3383A"/>
    <w:rsid w:val="00E42C4F"/>
    <w:rsid w:val="00E51365"/>
    <w:rsid w:val="00EA55C6"/>
    <w:rsid w:val="00ED60C1"/>
    <w:rsid w:val="00F04283"/>
    <w:rsid w:val="00F65FF2"/>
    <w:rsid w:val="023E6CB1"/>
    <w:rsid w:val="055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Lines="0" w:beforeAutospacing="1" w:afterLines="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Lines="0" w:beforeAutospacing="1" w:afterLines="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Segoe UI" w:hAnsi="Segoe UI" w:cs="Segoe UI" w:eastAsiaTheme="minorEastAsia"/>
      <w:kern w:val="2"/>
      <w:sz w:val="18"/>
      <w:szCs w:val="18"/>
    </w:rPr>
  </w:style>
  <w:style w:type="character" w:customStyle="1" w:styleId="13">
    <w:name w:val="批注文字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</w:rPr>
  </w:style>
  <w:style w:type="character" w:customStyle="1" w:styleId="14">
    <w:name w:val="批注主题 Char"/>
    <w:basedOn w:val="13"/>
    <w:link w:val="6"/>
    <w:semiHidden/>
    <w:uiPriority w:val="99"/>
    <w:rPr>
      <w:rFonts w:asciiTheme="minorHAnsi" w:hAnsiTheme="minorHAnsi" w:eastAsiaTheme="minorEastAsia" w:cstheme="minorBidi"/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journal</Company>
  <Pages>3</Pages>
  <Words>202</Words>
  <Characters>1154</Characters>
  <Lines>9</Lines>
  <Paragraphs>2</Paragraphs>
  <TotalTime>1490</TotalTime>
  <ScaleCrop>false</ScaleCrop>
  <LinksUpToDate>false</LinksUpToDate>
  <CharactersWithSpaces>1354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2019-08-05T05:33:00Z</dcterms:created>
  <dc:creator>ylh</dc:creator>
  <cp:lastModifiedBy>吴茵杰</cp:lastModifiedBy>
  <dcterms:modified xsi:type="dcterms:W3CDTF">2019-08-12T01:24:19Z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